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 xml:space="preserve">Политика в отношении обработки персональных данных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9B7">
        <w:rPr>
          <w:rFonts w:ascii="Times New Roman" w:hAnsi="Times New Roman" w:cs="Times New Roman"/>
          <w:sz w:val="24"/>
          <w:szCs w:val="24"/>
        </w:rPr>
        <w:t>(далее – Оператор).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9B7">
        <w:rPr>
          <w:rFonts w:ascii="Times New Roman" w:hAnsi="Times New Roman" w:cs="Times New Roman"/>
          <w:sz w:val="24"/>
          <w:szCs w:val="24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ː//</w:t>
      </w:r>
      <w:r>
        <w:rPr>
          <w:rFonts w:ascii="Times New Roman" w:hAnsi="Times New Roman" w:cs="Times New Roman"/>
          <w:sz w:val="24"/>
          <w:szCs w:val="24"/>
          <w:lang w:val="en-US"/>
        </w:rPr>
        <w:t>stankosfera.ru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ː//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ː//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2.10. Пользователь – любой посетитель веб-сайта 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ː//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3. Основные права и обязанности Оператора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3.1. Оператор имеет право: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3.2. Оператор обязан: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lastRenderedPageBreak/>
        <w:t>– организовывать обработку персональных данных в порядке, установленном действующим законодательством РФ;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исполнять иные обязанности, предусмотренные Законом о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4. Основные права и обязанности субъектов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4.1. Субъекты персональных данных имеют право: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на отзыв согласия на обработку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на осуществление иных прав, предусмотренных законодательством РФ.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4.2. Субъекты персональных данных обязаны: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предоставлять Оператору достоверные данные о себе;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lastRenderedPageBreak/>
        <w:t>– сообщать Оператору об уточнении (обновлении, изменении) своих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 Оператор может обрабатывать следующие персональные данные Пользователя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5.1. Фамилия, имя, отчество.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5.2. Электронный адрес.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5.3. Номера телефонов.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 xml:space="preserve">5.4. Также на сайте происходит сбор и обработка обезличенных данных о посетителях (в 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 файлов «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5.5. Вышеперечисленные данные далее по тексту Политики объединены общим понятием Персональные данные.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lastRenderedPageBreak/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6. Принципы обработки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6.1. Обработка персональных данных осуществляется на законной и справедливой основе.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6.4. Обработке подлежат только персональные данные, которые отвечают целям их обработки.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9829B7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9829B7">
        <w:rPr>
          <w:rFonts w:ascii="Times New Roman" w:hAnsi="Times New Roman" w:cs="Times New Roman"/>
          <w:sz w:val="24"/>
          <w:szCs w:val="24"/>
        </w:rPr>
        <w:t xml:space="preserve"> или неточных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829B7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9829B7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7. Цели обработки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7.1. Цель обработки персональных данных Пользователя: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 информирование Пользователя посредством отправки электронных писем;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 заключение, исполнение и прекращение гражданско-правовых договоров;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 предоставление доступа Пользователю к сервисам, информации и/или материалам, содержащимся на веб-сайте 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ː//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9829B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 с пометкой «Отказ от уведомлений о новых продуктах и услугах и специальных предложениях».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lastRenderedPageBreak/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8. Правовые основания обработки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8.1. Правовыми основаниями обработки персональных данных Оператором являются: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 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 уставные документы Оператора;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 договоры, заключаемые между оператором и субъектом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федеральные законы, иные нормативно-правовые акты в сфере защиты персональных данных;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ː//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 xml:space="preserve"> 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Pr="009829B7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).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9. Условия обработки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9829B7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9829B7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</w:t>
      </w:r>
      <w:r w:rsidRPr="009829B7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 Порядок сбора, хранения, передачи и других видов обработки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829B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29B7">
        <w:rPr>
          <w:rFonts w:ascii="Times New Roman" w:hAnsi="Times New Roman" w:cs="Times New Roman"/>
          <w:sz w:val="24"/>
          <w:szCs w:val="24"/>
        </w:rPr>
        <w:t> с пометкой «Актуализация персональных данных».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9829B7">
        <w:rPr>
          <w:rFonts w:ascii="Times New Roman" w:hAnsi="Times New Roman" w:cs="Times New Roman"/>
          <w:sz w:val="24"/>
          <w:szCs w:val="24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829B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stankosfera</w:t>
      </w:r>
      <w:r w:rsidRPr="00982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r w:rsidRPr="009829B7">
        <w:rPr>
          <w:rFonts w:ascii="Times New Roman" w:hAnsi="Times New Roman" w:cs="Times New Roman"/>
          <w:sz w:val="24"/>
          <w:szCs w:val="24"/>
        </w:rPr>
        <w:t> с пометкой «Отзыв согласия на обработку персональных данных».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</w:t>
      </w:r>
      <w:r w:rsidRPr="009829B7">
        <w:rPr>
          <w:rFonts w:ascii="Times New Roman" w:hAnsi="Times New Roman" w:cs="Times New Roman"/>
          <w:sz w:val="24"/>
          <w:szCs w:val="24"/>
        </w:rPr>
        <w:lastRenderedPageBreak/>
        <w:t>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10.7. Оператор при обработке персональных данных обеспечивает конфиденциальность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829B7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9829B7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11. Перечень действий, производимых Оператором с полученными персональными данными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12. Трансграничная передача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13. Конфиденциальность персональных данных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14. Заключительные положения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info@stankosfera.ru</w:t>
      </w:r>
    </w:p>
    <w:p w:rsidR="009829B7" w:rsidRPr="009829B7" w:rsidRDefault="009829B7" w:rsidP="009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B7">
        <w:rPr>
          <w:rFonts w:ascii="Times New Roman" w:hAnsi="Times New Roman" w:cs="Times New Roman"/>
          <w:sz w:val="24"/>
          <w:szCs w:val="24"/>
        </w:rPr>
        <w:lastRenderedPageBreak/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01AC2" w:rsidRPr="009829B7" w:rsidRDefault="00201AC2" w:rsidP="00982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AC2" w:rsidRPr="0098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5D"/>
    <w:rsid w:val="00201AC2"/>
    <w:rsid w:val="00321A5D"/>
    <w:rsid w:val="009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B56"/>
  <w15:chartTrackingRefBased/>
  <w15:docId w15:val="{F50821E4-C3C0-4EA5-92E9-9A03D65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29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829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29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829B7"/>
    <w:rPr>
      <w:b/>
      <w:bCs/>
    </w:rPr>
  </w:style>
  <w:style w:type="character" w:customStyle="1" w:styleId="link">
    <w:name w:val="link"/>
    <w:basedOn w:val="a0"/>
    <w:rsid w:val="0098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1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1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32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05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4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09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7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7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9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2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4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5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218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8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96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50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2022-07-21T09:38:00Z</dcterms:created>
  <dcterms:modified xsi:type="dcterms:W3CDTF">2022-07-21T09:41:00Z</dcterms:modified>
</cp:coreProperties>
</file>